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723F9F">
        <w:t>3</w:t>
      </w:r>
      <w:r>
        <w:t>г.</w:t>
      </w:r>
    </w:p>
    <w:p w:rsidR="00C601A8" w:rsidRPr="008C0012" w:rsidRDefault="00C601A8" w:rsidP="00C601A8"/>
    <w:p w:rsidR="006C7BA2" w:rsidRDefault="00B901E5" w:rsidP="006C7BA2">
      <w:pPr>
        <w:ind w:firstLine="360"/>
        <w:jc w:val="both"/>
      </w:pPr>
      <w:r w:rsidRPr="00B901E5">
        <w:rPr>
          <w:b/>
          <w:bCs/>
        </w:rPr>
        <w:t>Общество с ограниченной ответственностью</w:t>
      </w:r>
      <w:r w:rsidRPr="00B901E5">
        <w:t xml:space="preserve"> </w:t>
      </w:r>
      <w:r w:rsidRPr="00B901E5">
        <w:rPr>
          <w:b/>
        </w:rPr>
        <w:t xml:space="preserve">(ООО «Байкальская энергетическая компания»), </w:t>
      </w:r>
      <w:r w:rsidRPr="00B901E5">
        <w:t xml:space="preserve">именуемое в дальнейшем </w:t>
      </w:r>
      <w:r w:rsidRPr="00B901E5">
        <w:rPr>
          <w:b/>
        </w:rPr>
        <w:t>«Заказчик»,</w:t>
      </w:r>
      <w:r w:rsidR="00723F9F">
        <w:t xml:space="preserve"> в лице</w:t>
      </w:r>
      <w:r w:rsidRPr="00B901E5">
        <w:t xml:space="preserve"> </w:t>
      </w:r>
      <w:bookmarkStart w:id="0" w:name="_GoBack"/>
      <w:bookmarkEnd w:id="0"/>
      <w:r w:rsidR="006C7BA2" w:rsidRPr="006C7BA2">
        <w:t xml:space="preserve">директора Усть-Илимской ТЭЦ (филиал ООО «Байкальская энергетическая компания») Новикова Сергея Валерьевич, действующего на основании доверенности № </w:t>
      </w:r>
      <w:r w:rsidR="002A1315">
        <w:t>551</w:t>
      </w:r>
      <w:r w:rsidR="006C7BA2" w:rsidRPr="006C7BA2">
        <w:t xml:space="preserve"> от </w:t>
      </w:r>
      <w:r w:rsidR="002A1315">
        <w:t>25</w:t>
      </w:r>
      <w:r w:rsidR="006C7BA2" w:rsidRPr="006C7BA2">
        <w:t>.</w:t>
      </w:r>
      <w:r w:rsidR="002A1315">
        <w:t>12.</w:t>
      </w:r>
      <w:r w:rsidR="006C7BA2" w:rsidRPr="006C7BA2">
        <w:t>2023г., с одной стороны, и</w:t>
      </w:r>
    </w:p>
    <w:p w:rsidR="00D4117D" w:rsidRPr="00D4117D" w:rsidRDefault="00D4117D" w:rsidP="006C7BA2">
      <w:pPr>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F13A58">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B901E5">
        <w:rPr>
          <w:b/>
        </w:rPr>
        <w:t>на филиале ООО «Байкальская энергетическая компания»</w:t>
      </w:r>
      <w:r w:rsidR="00B901E5">
        <w:rPr>
          <w:b/>
        </w:rPr>
        <w:t xml:space="preserve"> </w:t>
      </w:r>
      <w:r w:rsidRPr="009A0339">
        <w:t xml:space="preserve">услуги </w:t>
      </w:r>
      <w:r w:rsidR="002A1315">
        <w:t>следующего содержания:</w:t>
      </w:r>
      <w:r w:rsidR="00573364" w:rsidRPr="00573364">
        <w:t xml:space="preserve"> </w:t>
      </w:r>
      <w:r w:rsidR="00573364">
        <w:t>«</w:t>
      </w:r>
      <w:r w:rsidR="00F13A58" w:rsidRPr="00F13A58">
        <w:rPr>
          <w:b/>
          <w:u w:val="single"/>
        </w:rPr>
        <w:t>Экспертиза промышленной безопасности мостового крана дымососного отделения г.п. 10 тн. зав. № 160. Экспертиза промышленной безопасности козлового крана Базы оборудования г.п. 30 тн. зав. № 796. Экспертиза промышленной безопасности козлового крана Базы оборудования г.п. 30 тн. зав. № 800. Экспертиза промышленной безопасности башенного крана Крыша деаэраторной этажерки г.п. 5 тн. зав. № 621.</w:t>
      </w:r>
      <w:r w:rsidR="002A1315" w:rsidRPr="002A1315">
        <w:rPr>
          <w:b/>
          <w:u w:val="single"/>
        </w:rPr>
        <w:t>093</w:t>
      </w:r>
      <w:r w:rsidR="00573364">
        <w:rPr>
          <w:b/>
          <w:u w:val="single"/>
        </w:rPr>
        <w:t>»</w:t>
      </w:r>
      <w:r w:rsidRPr="00C32958">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82A9A" w:rsidP="0091066A">
      <w:pPr>
        <w:pStyle w:val="a4"/>
        <w:numPr>
          <w:ilvl w:val="0"/>
          <w:numId w:val="3"/>
        </w:numPr>
        <w:rPr>
          <w:bCs/>
        </w:rPr>
      </w:pPr>
      <w:r>
        <w:rPr>
          <w:bCs/>
        </w:rPr>
        <w:t>Ведомость оказания услуг</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182A9A">
        <w:t>в ведомости оказания услуг</w:t>
      </w:r>
      <w:r w:rsidR="001036A3">
        <w:t xml:space="preserve"> </w:t>
      </w:r>
      <w:r w:rsidRPr="001A74D4">
        <w:t xml:space="preserve">(Приложение № </w:t>
      </w:r>
      <w:r w:rsidR="002908C1" w:rsidRPr="001A74D4">
        <w:t>2</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lastRenderedPageBreak/>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Заказчиком в соответствующих актах, в сроки согласованные сторонами. </w:t>
      </w:r>
      <w:r>
        <w:t>Исполнитель</w:t>
      </w:r>
      <w:r w:rsidRPr="008C0012">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w:t>
      </w:r>
      <w:r w:rsidRPr="005C4E40">
        <w:lastRenderedPageBreak/>
        <w:t xml:space="preserve">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fldSimple w:instr=" REF RefSCH7_No  \* MERGEFORMAT ">
        <w:r w:rsidRPr="005C4E40">
          <w:t xml:space="preserve">№ </w:t>
        </w:r>
        <w:r w:rsidR="00443834">
          <w:t>5</w:t>
        </w:r>
      </w:fldSimple>
      <w:r w:rsidRPr="005C4E40">
        <w:t xml:space="preserve">) – Исполнитель несет ответственность,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p>
    <w:p w:rsidR="00C601A8" w:rsidRPr="005C4E40" w:rsidRDefault="00C601A8" w:rsidP="005C4E40">
      <w:pPr>
        <w:jc w:val="both"/>
      </w:pPr>
      <w:r w:rsidRPr="005C4E40">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fldSimple w:instr=" REF RefSCH7_No  \* MERGEFORMAT ">
        <w:r w:rsidRPr="005C4E40">
          <w:t xml:space="preserve">№ </w:t>
        </w:r>
        <w:r w:rsidR="00443834">
          <w:t>6</w:t>
        </w:r>
      </w:fldSimple>
      <w:r w:rsidRPr="005C4E40">
        <w:t xml:space="preserve">) – Исполнитель несет ответственность,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lastRenderedPageBreak/>
        <w:t>3.2.</w:t>
      </w:r>
      <w:r w:rsidR="005C4E40">
        <w:t>3</w:t>
      </w:r>
      <w:r w:rsidRPr="005C4E40">
        <w:t xml:space="preserve">. </w:t>
      </w:r>
      <w:bookmarkStart w:id="1"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1"/>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 xml:space="preserve">с </w:t>
      </w:r>
      <w:r w:rsidR="00F13A58">
        <w:rPr>
          <w:b/>
        </w:rPr>
        <w:t>01 июня 2024 года.</w:t>
      </w:r>
      <w:r w:rsidRPr="00B00276">
        <w:rPr>
          <w:b/>
        </w:rPr>
        <w:t xml:space="preserve"> по </w:t>
      </w:r>
      <w:r w:rsidR="001036A3">
        <w:rPr>
          <w:b/>
        </w:rPr>
        <w:t>3</w:t>
      </w:r>
      <w:r w:rsidR="00DF53C0">
        <w:rPr>
          <w:b/>
        </w:rPr>
        <w:t>0</w:t>
      </w:r>
      <w:r w:rsidR="00F13A58">
        <w:rPr>
          <w:b/>
        </w:rPr>
        <w:t xml:space="preserve"> июня</w:t>
      </w:r>
      <w:r w:rsidR="00D83F61">
        <w:rPr>
          <w:b/>
        </w:rPr>
        <w:t xml:space="preserve"> </w:t>
      </w:r>
      <w:r w:rsidRPr="00B00276">
        <w:rPr>
          <w:b/>
        </w:rPr>
        <w:t>20</w:t>
      </w:r>
      <w:r w:rsidR="001036A3">
        <w:rPr>
          <w:b/>
        </w:rPr>
        <w:t>2</w:t>
      </w:r>
      <w:r w:rsidR="002A1315">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lastRenderedPageBreak/>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lastRenderedPageBreak/>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w:t>
      </w:r>
      <w:r w:rsidRPr="00B873A7">
        <w:lastRenderedPageBreak/>
        <w:t>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w:t>
      </w:r>
      <w:r w:rsidRPr="005937FC">
        <w:lastRenderedPageBreak/>
        <w:t xml:space="preserve">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w:t>
      </w:r>
      <w:r w:rsidRPr="00BF4099">
        <w:rPr>
          <w:rFonts w:eastAsia="Calibri"/>
          <w:lang w:eastAsia="en-US"/>
        </w:rPr>
        <w:lastRenderedPageBreak/>
        <w:t>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w:t>
      </w:r>
      <w:r w:rsidRPr="005937FC">
        <w:rPr>
          <w:rFonts w:ascii="Times New Roman" w:hAnsi="Times New Roman" w:cs="Times New Roman"/>
          <w:sz w:val="24"/>
          <w:szCs w:val="24"/>
        </w:rPr>
        <w:lastRenderedPageBreak/>
        <w:t>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w:t>
      </w:r>
      <w:r w:rsidRPr="00AA57F5">
        <w:lastRenderedPageBreak/>
        <w:t>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w:t>
      </w:r>
      <w:r w:rsidRPr="00AA57F5">
        <w:lastRenderedPageBreak/>
        <w:t>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lastRenderedPageBreak/>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182A9A" w:rsidRDefault="00182A9A" w:rsidP="00182A9A">
      <w:pPr>
        <w:tabs>
          <w:tab w:val="num" w:pos="284"/>
        </w:tabs>
        <w:jc w:val="both"/>
        <w:rPr>
          <w:bCs/>
        </w:rPr>
      </w:pPr>
      <w:r>
        <w:rPr>
          <w:bCs/>
        </w:rPr>
        <w:tab/>
      </w:r>
      <w:r w:rsidRPr="00182A9A">
        <w:rPr>
          <w:bCs/>
        </w:rPr>
        <w:t xml:space="preserve">Приложение 1 – ведомость </w:t>
      </w:r>
      <w:r>
        <w:rPr>
          <w:bCs/>
        </w:rPr>
        <w:t>оказания услуг</w:t>
      </w:r>
      <w:r w:rsidRPr="00182A9A">
        <w:rPr>
          <w:bCs/>
        </w:rPr>
        <w:t xml:space="preserve"> </w:t>
      </w:r>
    </w:p>
    <w:p w:rsidR="00182A9A" w:rsidRDefault="00182A9A" w:rsidP="00182A9A">
      <w:pPr>
        <w:tabs>
          <w:tab w:val="num" w:pos="284"/>
        </w:tabs>
        <w:jc w:val="both"/>
        <w:rPr>
          <w:bCs/>
        </w:rPr>
      </w:pPr>
      <w:r>
        <w:rPr>
          <w:bCs/>
        </w:rPr>
        <w:tab/>
      </w:r>
      <w:r w:rsidRPr="00182A9A">
        <w:rPr>
          <w:bCs/>
        </w:rPr>
        <w:t xml:space="preserve">Приложение 2 – </w:t>
      </w:r>
      <w:r w:rsidR="00251ADA">
        <w:rPr>
          <w:bCs/>
        </w:rPr>
        <w:t>смета оказания услуг</w:t>
      </w:r>
    </w:p>
    <w:p w:rsidR="002A1315" w:rsidRDefault="002A1315" w:rsidP="00182A9A">
      <w:pPr>
        <w:tabs>
          <w:tab w:val="num" w:pos="284"/>
        </w:tabs>
        <w:jc w:val="both"/>
        <w:rPr>
          <w:bCs/>
        </w:rPr>
      </w:pPr>
      <w:r>
        <w:rPr>
          <w:bCs/>
        </w:rPr>
        <w:t xml:space="preserve">     Приложение 3 – График на оказания услуг</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4</w:t>
      </w:r>
      <w:r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5</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6C7BA2" w:rsidRDefault="00182A9A" w:rsidP="00182A9A">
      <w:pPr>
        <w:tabs>
          <w:tab w:val="num" w:pos="284"/>
        </w:tabs>
        <w:jc w:val="both"/>
        <w:rPr>
          <w:bCs/>
        </w:rPr>
      </w:pPr>
      <w:r>
        <w:rPr>
          <w:bCs/>
        </w:rPr>
        <w:lastRenderedPageBreak/>
        <w:tab/>
      </w:r>
      <w:r w:rsidRPr="00182A9A">
        <w:rPr>
          <w:bCs/>
        </w:rPr>
        <w:t xml:space="preserve">Приложение </w:t>
      </w:r>
      <w:r w:rsidR="002A1315">
        <w:rPr>
          <w:bCs/>
        </w:rPr>
        <w:t>6</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2A1315">
        <w:rPr>
          <w:bCs/>
        </w:rPr>
        <w:t>7</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2A1315">
        <w:rPr>
          <w:bCs/>
        </w:rPr>
        <w:t>8</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9</w:t>
      </w:r>
      <w:r w:rsidRPr="00182A9A">
        <w:rPr>
          <w:bCs/>
        </w:rPr>
        <w:t xml:space="preserve"> - Унифицированная форма сбора отчетности по охране труда Подрядчиком.</w:t>
      </w:r>
    </w:p>
    <w:p w:rsidR="00182A9A" w:rsidRPr="00182A9A" w:rsidRDefault="00182A9A" w:rsidP="00182A9A">
      <w:pPr>
        <w:tabs>
          <w:tab w:val="num" w:pos="284"/>
        </w:tabs>
        <w:jc w:val="both"/>
        <w:rPr>
          <w:bCs/>
        </w:rPr>
      </w:pPr>
    </w:p>
    <w:p w:rsidR="00C601A8" w:rsidRPr="001A74D4" w:rsidRDefault="00C601A8" w:rsidP="00C601A8">
      <w:pPr>
        <w:tabs>
          <w:tab w:val="num" w:pos="284"/>
        </w:tabs>
        <w:jc w:val="both"/>
        <w:rPr>
          <w:bCs/>
        </w:rPr>
      </w:pPr>
      <w:r w:rsidRPr="001A74D4">
        <w:rPr>
          <w:bCs/>
        </w:rPr>
        <w:t>.</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fldSimple w:instr=" DOCVARIABLE  Б_Наимен_по_БИК  \* MERGEFORMAT ">
        <w:r w:rsidRPr="00B901E5">
          <w:t>Байкальский банк ПАО Сбербанк</w:t>
        </w:r>
      </w:fldSimple>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B901E5" w:rsidRPr="00B901E5" w:rsidRDefault="00B901E5" w:rsidP="00B901E5">
            <w:pPr>
              <w:rPr>
                <w:b/>
                <w:bCs/>
              </w:rPr>
            </w:pPr>
            <w:r w:rsidRPr="00B901E5">
              <w:rPr>
                <w:b/>
                <w:bCs/>
              </w:rPr>
              <w:t>Заказчик:</w:t>
            </w:r>
          </w:p>
          <w:p w:rsidR="006C7BA2" w:rsidRDefault="00F13A58" w:rsidP="00B901E5">
            <w:pPr>
              <w:jc w:val="both"/>
              <w:rPr>
                <w:bCs/>
              </w:rPr>
            </w:pPr>
            <w:r>
              <w:rPr>
                <w:bCs/>
              </w:rPr>
              <w:t>Д</w:t>
            </w:r>
            <w:r w:rsidR="006C7BA2" w:rsidRPr="006C7BA2">
              <w:rPr>
                <w:bCs/>
              </w:rPr>
              <w:t xml:space="preserve">иректор Усть-Илимской ТЭЦ </w:t>
            </w:r>
          </w:p>
          <w:p w:rsidR="006C7BA2" w:rsidRDefault="006C7BA2" w:rsidP="00B901E5">
            <w:pPr>
              <w:jc w:val="both"/>
              <w:rPr>
                <w:bCs/>
              </w:rPr>
            </w:pPr>
          </w:p>
          <w:p w:rsidR="006C7BA2" w:rsidRDefault="006C7BA2" w:rsidP="00B901E5">
            <w:pPr>
              <w:jc w:val="both"/>
              <w:rPr>
                <w:bCs/>
              </w:rPr>
            </w:pPr>
          </w:p>
          <w:p w:rsidR="00B901E5" w:rsidRPr="00B901E5" w:rsidRDefault="00B901E5" w:rsidP="00B901E5">
            <w:pPr>
              <w:jc w:val="both"/>
            </w:pPr>
            <w:r w:rsidRPr="00B901E5">
              <w:t xml:space="preserve">____________________ </w:t>
            </w:r>
            <w:r w:rsidR="006C7BA2">
              <w:t>Новиков С.В</w:t>
            </w:r>
            <w:r w:rsidR="00C71FCA">
              <w:t>.</w:t>
            </w:r>
          </w:p>
          <w:p w:rsidR="00B901E5" w:rsidRPr="00B901E5" w:rsidRDefault="00B901E5" w:rsidP="00B901E5">
            <w:pPr>
              <w:jc w:val="both"/>
            </w:pPr>
          </w:p>
          <w:p w:rsidR="00B901E5" w:rsidRPr="00B901E5" w:rsidRDefault="00B901E5" w:rsidP="00B901E5">
            <w:pPr>
              <w:jc w:val="both"/>
            </w:pPr>
          </w:p>
          <w:p w:rsidR="00B901E5" w:rsidRPr="00B901E5" w:rsidRDefault="00EF4355" w:rsidP="00B901E5">
            <w:pPr>
              <w:jc w:val="both"/>
            </w:pPr>
            <w:r>
              <w:t>«______»____________ 202</w:t>
            </w:r>
            <w:r w:rsidR="00F13A58">
              <w:t>4</w:t>
            </w:r>
            <w:r w:rsidR="00B901E5" w:rsidRPr="00B901E5">
              <w:t xml:space="preserve"> г.</w:t>
            </w:r>
          </w:p>
          <w:p w:rsidR="00B901E5" w:rsidRPr="00B901E5" w:rsidRDefault="00B901E5" w:rsidP="00B901E5">
            <w:pPr>
              <w:jc w:val="both"/>
            </w:pP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Default="00B901E5" w:rsidP="00B901E5">
            <w:pPr>
              <w:jc w:val="both"/>
            </w:pPr>
          </w:p>
          <w:p w:rsidR="006C7BA2" w:rsidRPr="00B901E5" w:rsidRDefault="006C7BA2"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Default="004776EB" w:rsidP="00C601A8"/>
    <w:sectPr w:rsidR="004776EB"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F13A58">
          <w:rPr>
            <w:noProof/>
          </w:rPr>
          <w:t>1</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055728"/>
    <w:rsid w:val="001036A3"/>
    <w:rsid w:val="00182A9A"/>
    <w:rsid w:val="001A74D4"/>
    <w:rsid w:val="002461D2"/>
    <w:rsid w:val="00251ADA"/>
    <w:rsid w:val="002908C1"/>
    <w:rsid w:val="002A1315"/>
    <w:rsid w:val="00335056"/>
    <w:rsid w:val="003C0D17"/>
    <w:rsid w:val="00443834"/>
    <w:rsid w:val="004776EB"/>
    <w:rsid w:val="00513E03"/>
    <w:rsid w:val="00536B98"/>
    <w:rsid w:val="00573364"/>
    <w:rsid w:val="005937FC"/>
    <w:rsid w:val="005C4E40"/>
    <w:rsid w:val="006C7BA2"/>
    <w:rsid w:val="00712506"/>
    <w:rsid w:val="00712E03"/>
    <w:rsid w:val="00723F9F"/>
    <w:rsid w:val="00753EF5"/>
    <w:rsid w:val="007D7415"/>
    <w:rsid w:val="00834F29"/>
    <w:rsid w:val="0091066A"/>
    <w:rsid w:val="009E4406"/>
    <w:rsid w:val="00AA57F5"/>
    <w:rsid w:val="00B00276"/>
    <w:rsid w:val="00B16980"/>
    <w:rsid w:val="00B222C3"/>
    <w:rsid w:val="00B574B8"/>
    <w:rsid w:val="00B901E5"/>
    <w:rsid w:val="00C14FF3"/>
    <w:rsid w:val="00C601A8"/>
    <w:rsid w:val="00C71FCA"/>
    <w:rsid w:val="00D4117D"/>
    <w:rsid w:val="00D83F61"/>
    <w:rsid w:val="00D90DBA"/>
    <w:rsid w:val="00DE17BA"/>
    <w:rsid w:val="00DF53C0"/>
    <w:rsid w:val="00E51415"/>
    <w:rsid w:val="00EB418C"/>
    <w:rsid w:val="00EF4355"/>
    <w:rsid w:val="00F1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F9FB7"/>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DDC37-0D74-4542-ACBD-BF0CCA67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15</Pages>
  <Words>8106</Words>
  <Characters>46209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30</cp:revision>
  <dcterms:created xsi:type="dcterms:W3CDTF">2020-07-10T03:01:00Z</dcterms:created>
  <dcterms:modified xsi:type="dcterms:W3CDTF">2024-02-09T06:14:00Z</dcterms:modified>
</cp:coreProperties>
</file>